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САММАРИ ВСТРЕЧИ</w:t>
      </w:r>
    </w:p>
    <w:p>
      <w:pPr>
        <w:jc w:val="center"/>
      </w:pPr>
      <w:r>
        <w:rPr>
          <w:b w:val="0"/>
          <w:sz w:val="20"/>
        </w:rPr>
        <w:t>(короткая выжимка итогов для рассылки участникам)</w:t>
      </w:r>
    </w:p>
    <w:p/>
    <w:p>
      <w:r>
        <w:rPr>
          <w:b w:val="0"/>
        </w:rPr>
        <w:t xml:space="preserve">Дата и время встречи: </w:t>
      </w:r>
    </w:p>
    <w:p>
      <w:r>
        <w:rPr>
          <w:b w:val="0"/>
        </w:rPr>
        <w:t xml:space="preserve">Формат (очно, видеосвязь, звонок): </w:t>
      </w:r>
    </w:p>
    <w:p>
      <w:r>
        <w:rPr>
          <w:b w:val="0"/>
        </w:rPr>
        <w:t xml:space="preserve">Тема: </w:t>
      </w:r>
    </w:p>
    <w:p>
      <w:r>
        <w:rPr>
          <w:b w:val="0"/>
        </w:rPr>
        <w:t xml:space="preserve">Участники: </w:t>
      </w:r>
    </w:p>
    <w:p>
      <w:r>
        <w:rPr>
          <w:b w:val="0"/>
        </w:rPr>
        <w:t xml:space="preserve">Саммари составил(а): </w:t>
      </w:r>
    </w:p>
    <w:p/>
    <w:p>
      <w:r>
        <w:rPr>
          <w:b/>
        </w:rPr>
        <w:t>Решения</w:t>
      </w:r>
    </w:p>
    <w:p>
      <w:r>
        <w:rPr>
          <w:b w:val="0"/>
          <w:sz w:val="20"/>
        </w:rPr>
        <w:t>Одно решение — одна строка, глагол совершенного вида.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</w:rPr>
              <w:t>№</w:t>
            </w:r>
          </w:p>
        </w:tc>
        <w:tc>
          <w:tcPr>
            <w:tcW w:type="dxa" w:w="5102"/>
          </w:tcPr>
          <w:p>
            <w:r>
              <w:rPr>
                <w:b/>
              </w:rPr>
              <w:t>Что решили</w:t>
            </w:r>
          </w:p>
        </w:tc>
      </w:tr>
      <w:tr>
        <w:tc>
          <w:tcPr>
            <w:tcW w:type="dxa" w:w="5102"/>
          </w:tcPr>
          <w:p>
            <w:r>
              <w:t>1</w:t>
            </w:r>
          </w:p>
        </w:tc>
        <w:tc>
          <w:tcPr>
            <w:tcW w:type="dxa" w:w="5102"/>
          </w:tcPr>
          <w:p/>
        </w:tc>
      </w:tr>
      <w:tr>
        <w:tc>
          <w:tcPr>
            <w:tcW w:type="dxa" w:w="5102"/>
          </w:tcPr>
          <w:p>
            <w:r>
              <w:t>2</w:t>
            </w:r>
          </w:p>
        </w:tc>
        <w:tc>
          <w:tcPr>
            <w:tcW w:type="dxa" w:w="5102"/>
          </w:tcPr>
          <w:p/>
        </w:tc>
      </w:tr>
      <w:tr>
        <w:tc>
          <w:tcPr>
            <w:tcW w:type="dxa" w:w="5102"/>
          </w:tcPr>
          <w:p>
            <w:r>
              <w:t>3</w:t>
            </w:r>
          </w:p>
        </w:tc>
        <w:tc>
          <w:tcPr>
            <w:tcW w:type="dxa" w:w="5102"/>
          </w:tcPr>
          <w:p/>
        </w:tc>
      </w:tr>
      <w:tr>
        <w:tc>
          <w:tcPr>
            <w:tcW w:type="dxa" w:w="5102"/>
          </w:tcPr>
          <w:p>
            <w:r>
              <w:t>4</w:t>
            </w:r>
          </w:p>
        </w:tc>
        <w:tc>
          <w:tcPr>
            <w:tcW w:type="dxa" w:w="5102"/>
          </w:tcPr>
          <w:p/>
        </w:tc>
      </w:tr>
    </w:tbl>
    <w:p/>
    <w:p>
      <w:r>
        <w:rPr>
          <w:b/>
        </w:rPr>
        <w:t>Задачи</w:t>
      </w:r>
    </w:p>
    <w:p>
      <w:r>
        <w:rPr>
          <w:b w:val="0"/>
          <w:sz w:val="20"/>
        </w:rPr>
        <w:t>Ответственный — один человек по имени. Срок — конкретная дата. Если на встрече их не называли, пишите «не назначен» и «не указан».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rPr>
                <w:b/>
              </w:rPr>
              <w:t>№</w:t>
            </w:r>
          </w:p>
        </w:tc>
        <w:tc>
          <w:tcPr>
            <w:tcW w:type="dxa" w:w="2551"/>
          </w:tcPr>
          <w:p>
            <w:r>
              <w:rPr>
                <w:b/>
              </w:rPr>
              <w:t>Что сделать</w:t>
            </w:r>
          </w:p>
        </w:tc>
        <w:tc>
          <w:tcPr>
            <w:tcW w:type="dxa" w:w="2551"/>
          </w:tcPr>
          <w:p>
            <w:r>
              <w:rPr>
                <w:b/>
              </w:rPr>
              <w:t>Кто отвечает</w:t>
            </w:r>
          </w:p>
        </w:tc>
        <w:tc>
          <w:tcPr>
            <w:tcW w:type="dxa" w:w="2551"/>
          </w:tcPr>
          <w:p>
            <w:r>
              <w:rPr>
                <w:b/>
              </w:rPr>
              <w:t>Срок</w:t>
            </w:r>
          </w:p>
        </w:tc>
      </w:tr>
      <w:tr>
        <w:tc>
          <w:tcPr>
            <w:tcW w:type="dxa" w:w="2551"/>
          </w:tcPr>
          <w:p>
            <w:r>
              <w:t>1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>
            <w:r>
              <w:t>2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>
            <w:r>
              <w:t>3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>
            <w:r>
              <w:t>4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>
            <w:r>
              <w:t>5</w:t>
            </w:r>
          </w:p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/>
    <w:p>
      <w:r>
        <w:rPr>
          <w:b/>
        </w:rPr>
        <w:t>Открытые вопросы</w:t>
      </w:r>
    </w:p>
    <w:p>
      <w:r>
        <w:rPr>
          <w:b w:val="0"/>
          <w:sz w:val="20"/>
        </w:rPr>
        <w:t>Что не решили и вынесли на следующий раз.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rPr>
                <w:b/>
              </w:rPr>
              <w:t>№</w:t>
            </w:r>
          </w:p>
        </w:tc>
        <w:tc>
          <w:tcPr>
            <w:tcW w:type="dxa" w:w="3402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3402"/>
          </w:tcPr>
          <w:p>
            <w:r>
              <w:rPr>
                <w:b/>
              </w:rPr>
              <w:t>Когда вернёмся</w:t>
            </w:r>
          </w:p>
        </w:tc>
      </w:tr>
      <w:tr>
        <w:tc>
          <w:tcPr>
            <w:tcW w:type="dxa" w:w="3402"/>
          </w:tcPr>
          <w:p>
            <w:r>
              <w:t>1</w:t>
            </w:r>
          </w:p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3402"/>
          </w:tcPr>
          <w:p>
            <w:r>
              <w:t>2</w:t>
            </w:r>
          </w:p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c>
          <w:tcPr>
            <w:tcW w:type="dxa" w:w="3402"/>
          </w:tcPr>
          <w:p>
            <w:r>
              <w:t>3</w:t>
            </w:r>
          </w:p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/>
    <w:p>
      <w:r>
        <w:rPr>
          <w:b w:val="0"/>
        </w:rPr>
        <w:t xml:space="preserve">Следующая встреча: </w:t>
      </w:r>
    </w:p>
    <w:p>
      <w:r>
        <w:rPr>
          <w:b w:val="0"/>
        </w:rPr>
        <w:t xml:space="preserve">Ссылка на расшифровку или запись: </w:t>
      </w:r>
    </w:p>
    <w:p/>
    <w:p>
      <w:r>
        <w:rPr>
          <w:b w:val="0"/>
          <w:sz w:val="18"/>
        </w:rPr>
        <w:t>Шаблон подготовлен сервисом расшифровки аудио и видео EdWord — edword.ru.</w:t>
      </w:r>
    </w:p>
    <w:p>
      <w:r>
        <w:rPr>
          <w:b w:val="0"/>
          <w:sz w:val="18"/>
        </w:rPr>
        <w:t>A4; поля: слева 20 мм, справа 10 мм, сверху и снизу 20 мм. ГОСТ Р 7.0.97-2025, п. 6.1: для хранения свыше 10 лет увеличьте левое поле до 30 мм. Номера страниц — со второй (п. 3.2).</w:t>
      </w:r>
    </w:p>
    <w:sectPr w:rsidR="00FC693F" w:rsidRPr="0006063C" w:rsidSect="00034616">
      <w:headerReference w:type="first" r:id="rId9"/>
      <w:headerReference w:type="default" r:id="rId10"/>
      <w:pgSz w:w="11906" w:h="16838"/>
      <w:pgMar w:top="1134" w:right="567" w:bottom="1134" w:left="1134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EdWord</dc:creator>
  <cp:keywords/>
  <dc:description>generated by python-docx</dc:description>
  <cp:lastModifiedBy>EdWord</cp:lastModifiedBy>
  <cp:revision>1</cp:revision>
  <dcterms:created xsi:type="dcterms:W3CDTF">2026-09-06T00:00:00Z</dcterms:created>
  <dcterms:modified xsi:type="dcterms:W3CDTF">2026-09-06T00:00:00Z</dcterms:modified>
  <cp:category/>
</cp:coreProperties>
</file>